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6CD08" w14:textId="3605AEA5" w:rsidR="0047410A" w:rsidRPr="009C483E" w:rsidRDefault="00112ADD" w:rsidP="0047410A">
      <w:pPr>
        <w:rPr>
          <w:b/>
          <w:bCs/>
          <w:sz w:val="40"/>
          <w:szCs w:val="40"/>
        </w:rPr>
      </w:pPr>
      <w:r>
        <w:rPr>
          <w:b/>
          <w:sz w:val="40"/>
        </w:rPr>
        <w:t xml:space="preserve">Wirtgen </w:t>
      </w:r>
      <w:r>
        <w:rPr>
          <w:sz w:val="40"/>
        </w:rPr>
        <w:t xml:space="preserve">| </w:t>
      </w:r>
      <w:r>
        <w:rPr>
          <w:b/>
          <w:sz w:val="40"/>
        </w:rPr>
        <w:t xml:space="preserve">Nouveau finisseur de béton </w:t>
      </w:r>
      <w:proofErr w:type="spellStart"/>
      <w:r>
        <w:rPr>
          <w:b/>
          <w:sz w:val="40"/>
        </w:rPr>
        <w:t>Inset</w:t>
      </w:r>
      <w:proofErr w:type="spellEnd"/>
      <w:r>
        <w:rPr>
          <w:sz w:val="40"/>
        </w:rPr>
        <w:t xml:space="preserve"> </w:t>
      </w:r>
      <w:r>
        <w:rPr>
          <w:b/>
          <w:sz w:val="40"/>
        </w:rPr>
        <w:t>SP 102i</w:t>
      </w:r>
      <w:r>
        <w:rPr>
          <w:sz w:val="40"/>
        </w:rPr>
        <w:t xml:space="preserve"> </w:t>
      </w:r>
      <w:r>
        <w:rPr>
          <w:b/>
          <w:sz w:val="40"/>
        </w:rPr>
        <w:t>pour le marché nord-américain</w:t>
      </w:r>
    </w:p>
    <w:p w14:paraId="0D7018D2" w14:textId="77777777" w:rsidR="006D225D" w:rsidRPr="009C483E" w:rsidRDefault="006D225D" w:rsidP="00366D22">
      <w:pPr>
        <w:pStyle w:val="1RoadNews"/>
        <w:spacing w:line="240" w:lineRule="auto"/>
        <w:rPr>
          <w:rFonts w:ascii="Verdana" w:hAnsi="Verdana" w:cs="HelveticaNeue-Medium"/>
          <w:b/>
          <w:bCs/>
          <w:color w:val="auto"/>
          <w:szCs w:val="22"/>
        </w:rPr>
      </w:pPr>
    </w:p>
    <w:p w14:paraId="63402BFD" w14:textId="7DB70074" w:rsidR="006D225D" w:rsidRPr="009C483E" w:rsidRDefault="004C3CD5" w:rsidP="006D225D">
      <w:pPr>
        <w:jc w:val="both"/>
        <w:rPr>
          <w:b/>
          <w:bCs/>
          <w:iCs/>
          <w:sz w:val="22"/>
          <w:szCs w:val="22"/>
        </w:rPr>
      </w:pPr>
      <w:r>
        <w:rPr>
          <w:b/>
          <w:sz w:val="22"/>
        </w:rPr>
        <w:t xml:space="preserve">La machine à coffrage glissant </w:t>
      </w:r>
      <w:proofErr w:type="spellStart"/>
      <w:r>
        <w:rPr>
          <w:b/>
          <w:sz w:val="22"/>
        </w:rPr>
        <w:t>Inset</w:t>
      </w:r>
      <w:proofErr w:type="spellEnd"/>
      <w:r>
        <w:rPr>
          <w:b/>
          <w:sz w:val="22"/>
        </w:rPr>
        <w:t xml:space="preserve"> SP 102i de Wirtgen a été spécialement développée pour répondre aux exigences des entreprises de construction d’Amérique du Nord. Avec des largeurs de pose de 16 à 40 pieds, ce finisseur à deux trains de chenilles maîtrise toutes les applications de béton courantes, telles que la construction neuve et la réfection de voies et aires de circulation ou encore le développement des infrastructures des aéroports et des zones industrielles et résidentielles. </w:t>
      </w:r>
    </w:p>
    <w:p w14:paraId="19ED6CFF" w14:textId="77777777" w:rsidR="00796A6B" w:rsidRPr="009C483E" w:rsidRDefault="00796A6B" w:rsidP="00BA3DCA">
      <w:pPr>
        <w:jc w:val="both"/>
        <w:rPr>
          <w:sz w:val="22"/>
          <w:szCs w:val="22"/>
        </w:rPr>
      </w:pPr>
    </w:p>
    <w:p w14:paraId="670337BF" w14:textId="36148E30" w:rsidR="000069E2" w:rsidRPr="009C483E" w:rsidRDefault="003A42BE" w:rsidP="00E608EC">
      <w:pPr>
        <w:jc w:val="both"/>
        <w:rPr>
          <w:sz w:val="22"/>
          <w:szCs w:val="22"/>
        </w:rPr>
      </w:pPr>
      <w:r>
        <w:rPr>
          <w:b/>
          <w:sz w:val="22"/>
        </w:rPr>
        <w:t xml:space="preserve">Le SP 102i est le finisseur le plus polyvalent de sa catégorie </w:t>
      </w:r>
    </w:p>
    <w:p w14:paraId="11B1EC1C" w14:textId="62C53158" w:rsidR="00D7489B" w:rsidRPr="009C483E" w:rsidRDefault="008E7F9D" w:rsidP="00D7489B">
      <w:pPr>
        <w:jc w:val="both"/>
        <w:rPr>
          <w:sz w:val="22"/>
          <w:szCs w:val="22"/>
        </w:rPr>
      </w:pPr>
      <w:r>
        <w:rPr>
          <w:sz w:val="22"/>
        </w:rPr>
        <w:t xml:space="preserve">Avec sa largeur de travail maximale plus grande, le SP 102i peut effectuer davantage de missions. Il couvre l’éventail de tâches classiques mieux que n’importe quel autre finisseur à deux trains de chenilles. Sa conception entièrement modulaire permet de transformer facilement la machine pour l’adapter rapidement à différentes situations de chantier. Le concept de transport ingénieux permet en outre de s’assurer que tous les composants, y compris la lame de répartition et la taloche longitudinale, restent en place sur la machine. La machine à coffrage glissant </w:t>
      </w:r>
      <w:proofErr w:type="spellStart"/>
      <w:r>
        <w:rPr>
          <w:sz w:val="22"/>
        </w:rPr>
        <w:t>Inset</w:t>
      </w:r>
      <w:proofErr w:type="spellEnd"/>
      <w:r>
        <w:rPr>
          <w:sz w:val="22"/>
        </w:rPr>
        <w:t xml:space="preserve"> est ainsi rapidement opérationnelle.</w:t>
      </w:r>
    </w:p>
    <w:p w14:paraId="50335B19" w14:textId="65B3C21B" w:rsidR="00B90925" w:rsidRPr="009C483E" w:rsidRDefault="00B90925">
      <w:pPr>
        <w:rPr>
          <w:b/>
          <w:bCs/>
          <w:sz w:val="22"/>
          <w:szCs w:val="22"/>
          <w:lang w:eastAsia="de-DE"/>
        </w:rPr>
      </w:pPr>
    </w:p>
    <w:p w14:paraId="2452351E" w14:textId="58D6156E" w:rsidR="00A6763B" w:rsidRPr="000F338E" w:rsidRDefault="00851B7B" w:rsidP="00A6763B">
      <w:pPr>
        <w:jc w:val="both"/>
        <w:rPr>
          <w:b/>
          <w:bCs/>
          <w:sz w:val="22"/>
          <w:szCs w:val="22"/>
        </w:rPr>
      </w:pPr>
      <w:r>
        <w:rPr>
          <w:b/>
          <w:sz w:val="22"/>
        </w:rPr>
        <w:t>Technologie d’entraînement moderne qui économise du carburant</w:t>
      </w:r>
    </w:p>
    <w:p w14:paraId="1872BBA7" w14:textId="40A2DD7D" w:rsidR="00F35FEA" w:rsidRPr="009C483E" w:rsidRDefault="00F35FEA" w:rsidP="00A6763B">
      <w:pPr>
        <w:jc w:val="both"/>
        <w:rPr>
          <w:sz w:val="22"/>
          <w:szCs w:val="22"/>
        </w:rPr>
      </w:pPr>
      <w:r>
        <w:rPr>
          <w:sz w:val="22"/>
        </w:rPr>
        <w:t>La gestion moteur efficace participe elle aussi au fonctionnement économique de la machine. Si l’utilisateur choisit le mode ECO, le régime moteur et donc la puissance disponible s’adaptent automatiquement aux exigences de performances actuelles. Ainsi, le puissant moteur diesel de 310 </w:t>
      </w:r>
      <w:proofErr w:type="spellStart"/>
      <w:r>
        <w:rPr>
          <w:sz w:val="22"/>
        </w:rPr>
        <w:t>ch</w:t>
      </w:r>
      <w:proofErr w:type="spellEnd"/>
      <w:r>
        <w:rPr>
          <w:sz w:val="22"/>
        </w:rPr>
        <w:t xml:space="preserve"> (231 kW), conforme à la norme d’émission US EPA Tier 4f, travaille toujours dans la plage de régime moteur optimale. Le SP 102i est ainsi économe en carburant et se distingue par de faibles émissions sonores et de gaz d’échappement. </w:t>
      </w:r>
    </w:p>
    <w:p w14:paraId="59625201" w14:textId="65326AF0" w:rsidR="00F35FEA" w:rsidRPr="009C483E" w:rsidRDefault="00F35FEA" w:rsidP="00F35FEA">
      <w:pPr>
        <w:jc w:val="both"/>
        <w:rPr>
          <w:sz w:val="22"/>
          <w:szCs w:val="22"/>
          <w:lang w:eastAsia="de-DE"/>
        </w:rPr>
      </w:pPr>
    </w:p>
    <w:p w14:paraId="0A96FBDA" w14:textId="4461FE1E" w:rsidR="007D58A1" w:rsidRPr="000F338E" w:rsidRDefault="00D74E0B" w:rsidP="007D58A1">
      <w:pPr>
        <w:jc w:val="both"/>
        <w:rPr>
          <w:b/>
          <w:bCs/>
          <w:sz w:val="22"/>
          <w:szCs w:val="22"/>
        </w:rPr>
      </w:pPr>
      <w:r>
        <w:rPr>
          <w:b/>
          <w:sz w:val="22"/>
        </w:rPr>
        <w:t>Utilisation aisée grâce à un concept de commande commun à toutes les machines</w:t>
      </w:r>
    </w:p>
    <w:p w14:paraId="5D488E6B" w14:textId="464743B1" w:rsidR="007D58A1" w:rsidRPr="009C483E" w:rsidRDefault="007D58A1" w:rsidP="007D58A1">
      <w:pPr>
        <w:jc w:val="both"/>
        <w:rPr>
          <w:sz w:val="22"/>
          <w:szCs w:val="22"/>
        </w:rPr>
      </w:pPr>
      <w:r>
        <w:rPr>
          <w:sz w:val="22"/>
        </w:rPr>
        <w:t>Wirtgen a également répondu aux souhaits et aux exigences des utilisateurs. Le poste de conduite ergonomique procure une vue panoramique idéale sur l’ensemble du chantier. Un toit protecteur réglable en hauteur par commande hydraulique protège l’utilisateur du soleil et des intempéries.</w:t>
      </w:r>
    </w:p>
    <w:p w14:paraId="438C8FDD" w14:textId="77777777" w:rsidR="007D58A1" w:rsidRPr="009C483E" w:rsidRDefault="007D58A1" w:rsidP="007D58A1">
      <w:pPr>
        <w:jc w:val="both"/>
        <w:rPr>
          <w:sz w:val="22"/>
          <w:szCs w:val="22"/>
          <w:lang w:eastAsia="de-DE"/>
        </w:rPr>
      </w:pPr>
    </w:p>
    <w:p w14:paraId="3CFB1838" w14:textId="3DEB51BC" w:rsidR="00645ACE" w:rsidRDefault="00D921D8" w:rsidP="007D58A1">
      <w:pPr>
        <w:jc w:val="both"/>
        <w:rPr>
          <w:sz w:val="22"/>
          <w:szCs w:val="22"/>
        </w:rPr>
      </w:pPr>
      <w:r>
        <w:rPr>
          <w:sz w:val="22"/>
        </w:rPr>
        <w:t>Les pupitres de commande modernes du SP 102i, qui comportent des symboles compréhensibles par tous, constituent l’interface utilisateur. Ces pupitres sont identiques sur toutes les machines à coffrage glissant de Wirtgen, ce qui permet de réduire la phase de formation et de familiarisation avec la machine des utilisateurs. En outre, la conception ergonomique des éléments de commande soulage l’utilisateur et favorise la productivité.</w:t>
      </w:r>
    </w:p>
    <w:p w14:paraId="07AB6700" w14:textId="77777777" w:rsidR="00645ACE" w:rsidRPr="009C483E" w:rsidRDefault="00645ACE" w:rsidP="007D58A1">
      <w:pPr>
        <w:jc w:val="both"/>
        <w:rPr>
          <w:sz w:val="22"/>
          <w:szCs w:val="22"/>
          <w:lang w:eastAsia="de-DE"/>
        </w:rPr>
      </w:pPr>
    </w:p>
    <w:p w14:paraId="07A027C5" w14:textId="0EFFA833" w:rsidR="004B2B10" w:rsidRDefault="004B2B10">
      <w:pPr>
        <w:rPr>
          <w:sz w:val="22"/>
          <w:szCs w:val="22"/>
          <w:lang w:eastAsia="de-DE"/>
        </w:rPr>
      </w:pPr>
    </w:p>
    <w:p w14:paraId="00E46494" w14:textId="3F48CED0" w:rsidR="00FF5AD3" w:rsidRDefault="00FF5AD3">
      <w:pPr>
        <w:rPr>
          <w:sz w:val="22"/>
          <w:szCs w:val="22"/>
          <w:lang w:eastAsia="de-DE"/>
        </w:rPr>
      </w:pPr>
    </w:p>
    <w:p w14:paraId="6732D6E7" w14:textId="77777777" w:rsidR="00FF5AD3" w:rsidRPr="009C483E" w:rsidRDefault="00FF5AD3">
      <w:pPr>
        <w:rPr>
          <w:sz w:val="22"/>
          <w:szCs w:val="22"/>
          <w:lang w:eastAsia="de-DE"/>
        </w:rPr>
      </w:pPr>
    </w:p>
    <w:p w14:paraId="7253C2CA" w14:textId="0B6A5C83" w:rsidR="004B2B10" w:rsidRPr="000F338E" w:rsidRDefault="004B2B10" w:rsidP="00F35FEA">
      <w:pPr>
        <w:jc w:val="both"/>
        <w:rPr>
          <w:b/>
          <w:bCs/>
          <w:sz w:val="22"/>
          <w:szCs w:val="22"/>
        </w:rPr>
      </w:pPr>
      <w:r>
        <w:rPr>
          <w:b/>
          <w:sz w:val="22"/>
        </w:rPr>
        <w:lastRenderedPageBreak/>
        <w:t>Qualité de pose optimale grâce aux technologies Wirtgen éprouvées</w:t>
      </w:r>
    </w:p>
    <w:p w14:paraId="33C41A10" w14:textId="2C6990AD" w:rsidR="00D63C67" w:rsidRPr="009C483E" w:rsidRDefault="004B2B10" w:rsidP="00F35FEA">
      <w:pPr>
        <w:jc w:val="both"/>
        <w:rPr>
          <w:sz w:val="22"/>
          <w:szCs w:val="22"/>
        </w:rPr>
      </w:pPr>
      <w:r>
        <w:rPr>
          <w:sz w:val="22"/>
        </w:rPr>
        <w:t xml:space="preserve">En ce qui concerne la technique de pose, le SP 102i s’appuie sur la technologie Wirtgen largement éprouvée. Par exemple, la taloche longitudinale oscillante assure une haute qualité de surface des couches de béton jusqu’à 18 pouces d’épaisseur. Celles-ci peuvent présenter des profils à deux dévers avec une pente allant jusqu’à 3 %. En option, deux </w:t>
      </w:r>
      <w:proofErr w:type="spellStart"/>
      <w:r>
        <w:rPr>
          <w:sz w:val="22"/>
        </w:rPr>
        <w:t>inserteurs</w:t>
      </w:r>
      <w:proofErr w:type="spellEnd"/>
      <w:r>
        <w:rPr>
          <w:sz w:val="22"/>
        </w:rPr>
        <w:t xml:space="preserve"> de barres de liaison latérales insèrent des tirants d’ancrage dans le béton frais, ce qui empêche les chaussées adjacentes de s’écarter les unes des autres.</w:t>
      </w:r>
    </w:p>
    <w:p w14:paraId="00F5963B" w14:textId="77777777" w:rsidR="00D63C67" w:rsidRPr="009C483E" w:rsidRDefault="00D63C67" w:rsidP="00F35FEA">
      <w:pPr>
        <w:jc w:val="both"/>
        <w:rPr>
          <w:sz w:val="22"/>
          <w:szCs w:val="22"/>
          <w:lang w:eastAsia="de-DE"/>
        </w:rPr>
      </w:pPr>
    </w:p>
    <w:p w14:paraId="6AB8197E" w14:textId="77777777" w:rsidR="00645ACE" w:rsidRDefault="00727FF8" w:rsidP="00E608EC">
      <w:pPr>
        <w:jc w:val="both"/>
        <w:rPr>
          <w:b/>
          <w:bCs/>
          <w:sz w:val="22"/>
          <w:szCs w:val="22"/>
        </w:rPr>
      </w:pPr>
      <w:r>
        <w:rPr>
          <w:sz w:val="22"/>
        </w:rPr>
        <w:t xml:space="preserve">Pour un compactage de grande qualité du béton, la machine est équipée de vibreurs hydrauliques. Ceux-ci compactent le béton de manière uniforme et assurent un ensemble homogène et une haute qualité de pose. 18 raccords hydrauliques pour vibreurs sont prévus en version standard ; en option, la machine à coffrage glissant </w:t>
      </w:r>
      <w:proofErr w:type="spellStart"/>
      <w:r>
        <w:rPr>
          <w:sz w:val="22"/>
        </w:rPr>
        <w:t>Inset</w:t>
      </w:r>
      <w:proofErr w:type="spellEnd"/>
      <w:r>
        <w:rPr>
          <w:sz w:val="22"/>
        </w:rPr>
        <w:t xml:space="preserve"> peut être équipée de 24 ou 30 vibreurs hydrauliques pour des largeurs de pose plus importantes.</w:t>
      </w:r>
    </w:p>
    <w:p w14:paraId="0B2B1DA5" w14:textId="77777777" w:rsidR="00645ACE" w:rsidRDefault="00645ACE" w:rsidP="00E608EC">
      <w:pPr>
        <w:jc w:val="both"/>
        <w:rPr>
          <w:b/>
          <w:bCs/>
          <w:sz w:val="22"/>
          <w:szCs w:val="22"/>
          <w:lang w:eastAsia="de-DE"/>
        </w:rPr>
      </w:pPr>
    </w:p>
    <w:p w14:paraId="7BFF62C9" w14:textId="179D5FA1" w:rsidR="00370B7A" w:rsidRPr="009C483E" w:rsidRDefault="00370B7A" w:rsidP="005E5764">
      <w:pPr>
        <w:jc w:val="both"/>
        <w:rPr>
          <w:sz w:val="22"/>
          <w:szCs w:val="22"/>
        </w:rPr>
      </w:pPr>
      <w:r>
        <w:rPr>
          <w:b/>
          <w:sz w:val="22"/>
        </w:rPr>
        <w:t>Des solutions intelligentes de pointe embarquées</w:t>
      </w:r>
    </w:p>
    <w:p w14:paraId="7AE28600" w14:textId="3C7F7062" w:rsidR="00370B7A" w:rsidRPr="009C483E" w:rsidRDefault="00645ACE" w:rsidP="005E5764">
      <w:pPr>
        <w:jc w:val="both"/>
        <w:rPr>
          <w:sz w:val="22"/>
          <w:szCs w:val="22"/>
        </w:rPr>
      </w:pPr>
      <w:r>
        <w:rPr>
          <w:sz w:val="22"/>
        </w:rPr>
        <w:t>Afin de répondre aux exigences élevées en matière de précision des profils des voies et aires de circulation, le SP 102i est équipé d’une interface 3D éprouvée. Grâce à un système 3D et aux stations totales de différents fournisseurs, elle peut convertir des données de planification prédéfinies en pose de précision. Par rapport à la méthode traditionnelle de nivellement et de direction, appelée palpage de fils de guidage, cela rend souvent la pose encore plus précise et plus économique.</w:t>
      </w:r>
    </w:p>
    <w:p w14:paraId="11687DB1" w14:textId="77777777" w:rsidR="00370B7A" w:rsidRPr="009C483E" w:rsidRDefault="00370B7A" w:rsidP="005E5764">
      <w:pPr>
        <w:jc w:val="both"/>
        <w:rPr>
          <w:sz w:val="22"/>
          <w:szCs w:val="22"/>
          <w:lang w:eastAsia="de-DE"/>
        </w:rPr>
      </w:pPr>
    </w:p>
    <w:p w14:paraId="1F72B6AF" w14:textId="55274F89" w:rsidR="003B7637" w:rsidRPr="009C483E" w:rsidRDefault="00AD7855" w:rsidP="00113729">
      <w:pPr>
        <w:jc w:val="both"/>
        <w:rPr>
          <w:sz w:val="22"/>
          <w:szCs w:val="22"/>
        </w:rPr>
      </w:pPr>
      <w:r>
        <w:rPr>
          <w:sz w:val="22"/>
        </w:rPr>
        <w:t>Avec WITOS </w:t>
      </w:r>
      <w:proofErr w:type="spellStart"/>
      <w:r>
        <w:rPr>
          <w:sz w:val="22"/>
        </w:rPr>
        <w:t>FleetView</w:t>
      </w:r>
      <w:proofErr w:type="spellEnd"/>
      <w:r>
        <w:rPr>
          <w:sz w:val="22"/>
        </w:rPr>
        <w:t>, le responsable de la machine SP 102i apporte également son aide à distance. Cette solution télématique du Wirtgen Group facilite la gestion de flotte et augmente la disponibilité des machines car elle permet de détecter à temps, planifier et effectuer les opérations de maintenance en attente. WITOS </w:t>
      </w:r>
      <w:proofErr w:type="spellStart"/>
      <w:r>
        <w:rPr>
          <w:sz w:val="22"/>
        </w:rPr>
        <w:t>FleetView</w:t>
      </w:r>
      <w:proofErr w:type="spellEnd"/>
      <w:r>
        <w:rPr>
          <w:sz w:val="22"/>
        </w:rPr>
        <w:t xml:space="preserve"> permet en outre de visualiser les données de localisation et des machines ainsi que toutes les données d’état telles que le niveau actuel de carburant.</w:t>
      </w:r>
    </w:p>
    <w:p w14:paraId="0E2297A7" w14:textId="6CFC7685" w:rsidR="001A12EC" w:rsidRDefault="001A12EC">
      <w:pPr>
        <w:rPr>
          <w:rFonts w:eastAsia="Calibri" w:cs="Arial"/>
          <w:b/>
          <w:sz w:val="22"/>
          <w:szCs w:val="22"/>
        </w:rPr>
      </w:pPr>
    </w:p>
    <w:p w14:paraId="488ACA09" w14:textId="77777777" w:rsidR="00FF5AD3" w:rsidRPr="009C483E" w:rsidRDefault="00FF5AD3">
      <w:pPr>
        <w:rPr>
          <w:rFonts w:eastAsia="Calibri" w:cs="Arial"/>
          <w:b/>
          <w:sz w:val="22"/>
          <w:szCs w:val="22"/>
        </w:rPr>
      </w:pPr>
    </w:p>
    <w:p w14:paraId="328E0139" w14:textId="24593A69" w:rsidR="00C47A8A" w:rsidRPr="009C483E" w:rsidRDefault="00384531" w:rsidP="00384531">
      <w:pPr>
        <w:pStyle w:val="HeadlineFotos"/>
      </w:pPr>
      <w:r>
        <w:rPr>
          <w:caps w:val="0"/>
        </w:rPr>
        <w:t>Photos </w:t>
      </w:r>
      <w:r>
        <w:t>:</w:t>
      </w:r>
    </w:p>
    <w:p w14:paraId="15E88D6D" w14:textId="77777777" w:rsidR="00286F6A" w:rsidRPr="009C483E" w:rsidRDefault="00286F6A" w:rsidP="00286F6A">
      <w:pPr>
        <w:autoSpaceDE w:val="0"/>
        <w:autoSpaceDN w:val="0"/>
        <w:adjustRightInd w:val="0"/>
        <w:rPr>
          <w:rFonts w:eastAsia="MS Mincho"/>
          <w:b/>
          <w:bCs/>
          <w:i/>
          <w:iCs/>
          <w:sz w:val="20"/>
          <w:szCs w:val="24"/>
        </w:rPr>
      </w:pPr>
      <w:r>
        <w:rPr>
          <w:b/>
          <w:i/>
          <w:noProof/>
          <w:sz w:val="20"/>
          <w:lang w:val="de-DE" w:eastAsia="de-DE"/>
        </w:rPr>
        <w:drawing>
          <wp:inline distT="0" distB="0" distL="0" distR="0" wp14:anchorId="0EE35E02" wp14:editId="439A23CE">
            <wp:extent cx="2430000" cy="1800000"/>
            <wp:effectExtent l="0" t="0" r="0" b="0"/>
            <wp:docPr id="1" name="Grafik 1" descr="Ein Bild, das Boot,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Boot, Transpor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430000" cy="1800000"/>
                    </a:xfrm>
                    <a:prstGeom prst="rect">
                      <a:avLst/>
                    </a:prstGeom>
                  </pic:spPr>
                </pic:pic>
              </a:graphicData>
            </a:graphic>
          </wp:inline>
        </w:drawing>
      </w:r>
    </w:p>
    <w:p w14:paraId="15864B84" w14:textId="77777777" w:rsidR="00286F6A" w:rsidRPr="009C483E" w:rsidRDefault="00286F6A" w:rsidP="00286F6A">
      <w:pPr>
        <w:autoSpaceDE w:val="0"/>
        <w:autoSpaceDN w:val="0"/>
        <w:adjustRightInd w:val="0"/>
        <w:rPr>
          <w:rFonts w:eastAsia="MS Mincho"/>
          <w:b/>
          <w:bCs/>
          <w:i/>
          <w:iCs/>
          <w:sz w:val="20"/>
          <w:szCs w:val="24"/>
        </w:rPr>
      </w:pPr>
      <w:r>
        <w:rPr>
          <w:b/>
          <w:i/>
          <w:sz w:val="20"/>
        </w:rPr>
        <w:t>W_graphic_SP102i_00003_HI.psd</w:t>
      </w:r>
    </w:p>
    <w:p w14:paraId="5C0BD447" w14:textId="048E4DD1" w:rsidR="00286F6A" w:rsidRPr="009C483E" w:rsidRDefault="00286F6A" w:rsidP="00286F6A">
      <w:pPr>
        <w:autoSpaceDE w:val="0"/>
        <w:autoSpaceDN w:val="0"/>
        <w:adjustRightInd w:val="0"/>
        <w:rPr>
          <w:bCs/>
          <w:sz w:val="20"/>
          <w:szCs w:val="20"/>
        </w:rPr>
      </w:pPr>
      <w:r>
        <w:rPr>
          <w:sz w:val="20"/>
        </w:rPr>
        <w:t>La nouvelle machine à coffrage glissant SP 102i de Wirtgen maîtrise un large éventail de tâches de manière très économique.</w:t>
      </w:r>
    </w:p>
    <w:p w14:paraId="4CDB9304" w14:textId="77777777" w:rsidR="00286F6A" w:rsidRPr="009C483E" w:rsidRDefault="00286F6A" w:rsidP="00286F6A">
      <w:pPr>
        <w:pStyle w:val="Text"/>
      </w:pPr>
    </w:p>
    <w:p w14:paraId="1EA3D786" w14:textId="77777777" w:rsidR="00286F6A" w:rsidRPr="009C483E" w:rsidRDefault="00286F6A" w:rsidP="00286F6A">
      <w:pPr>
        <w:pStyle w:val="Text"/>
      </w:pPr>
    </w:p>
    <w:p w14:paraId="0E8FE5B5" w14:textId="77777777" w:rsidR="00286F6A" w:rsidRPr="009C483E" w:rsidRDefault="00286F6A" w:rsidP="00286F6A">
      <w:pPr>
        <w:pStyle w:val="Text"/>
      </w:pPr>
      <w:r>
        <w:rPr>
          <w:noProof/>
          <w:lang w:val="de-DE" w:eastAsia="de-DE"/>
        </w:rPr>
        <w:lastRenderedPageBreak/>
        <w:drawing>
          <wp:inline distT="0" distB="0" distL="0" distR="0" wp14:anchorId="0B5C6EB4" wp14:editId="740FB333">
            <wp:extent cx="2430000" cy="1800000"/>
            <wp:effectExtent l="0" t="0" r="0" b="3810"/>
            <wp:docPr id="7" name="Grafik 7" descr="Ein Bild, das Transport, Satellit,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ransport, Satellit, dunkel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30000" cy="1800000"/>
                    </a:xfrm>
                    <a:prstGeom prst="rect">
                      <a:avLst/>
                    </a:prstGeom>
                  </pic:spPr>
                </pic:pic>
              </a:graphicData>
            </a:graphic>
          </wp:inline>
        </w:drawing>
      </w:r>
    </w:p>
    <w:p w14:paraId="416C02CE" w14:textId="77777777" w:rsidR="00286F6A" w:rsidRPr="009C483E" w:rsidRDefault="00286F6A" w:rsidP="00286F6A">
      <w:pPr>
        <w:autoSpaceDE w:val="0"/>
        <w:autoSpaceDN w:val="0"/>
        <w:adjustRightInd w:val="0"/>
        <w:rPr>
          <w:rFonts w:eastAsia="MS Mincho"/>
          <w:b/>
          <w:bCs/>
          <w:i/>
          <w:iCs/>
          <w:sz w:val="20"/>
          <w:szCs w:val="24"/>
        </w:rPr>
      </w:pPr>
      <w:r>
        <w:rPr>
          <w:b/>
          <w:i/>
          <w:sz w:val="20"/>
        </w:rPr>
        <w:t>W_graphic_SP102i_00001_HI.psd</w:t>
      </w:r>
    </w:p>
    <w:p w14:paraId="67B47F8F" w14:textId="35409DB2" w:rsidR="00286F6A" w:rsidRPr="009C483E" w:rsidRDefault="00286F6A" w:rsidP="00286F6A">
      <w:pPr>
        <w:autoSpaceDE w:val="0"/>
        <w:autoSpaceDN w:val="0"/>
        <w:adjustRightInd w:val="0"/>
        <w:rPr>
          <w:rFonts w:eastAsia="MS Mincho"/>
          <w:sz w:val="20"/>
          <w:szCs w:val="24"/>
        </w:rPr>
      </w:pPr>
      <w:r>
        <w:rPr>
          <w:sz w:val="20"/>
        </w:rPr>
        <w:t>Le finisseur à deux trains de chenilles de Wirtgen ne cause qu’une faible pression au sol et se révèle donc très maniable et flexible lors de la pose.</w:t>
      </w:r>
    </w:p>
    <w:p w14:paraId="128E9247" w14:textId="77777777" w:rsidR="00286F6A" w:rsidRPr="009C483E" w:rsidRDefault="00286F6A" w:rsidP="00286F6A">
      <w:pPr>
        <w:autoSpaceDE w:val="0"/>
        <w:autoSpaceDN w:val="0"/>
        <w:adjustRightInd w:val="0"/>
        <w:rPr>
          <w:rFonts w:eastAsia="MS Mincho"/>
          <w:sz w:val="20"/>
          <w:szCs w:val="24"/>
        </w:rPr>
      </w:pPr>
    </w:p>
    <w:p w14:paraId="028E74E7" w14:textId="77777777" w:rsidR="00286F6A" w:rsidRPr="009C483E" w:rsidRDefault="00286F6A" w:rsidP="00286F6A">
      <w:pPr>
        <w:autoSpaceDE w:val="0"/>
        <w:autoSpaceDN w:val="0"/>
        <w:adjustRightInd w:val="0"/>
        <w:rPr>
          <w:rFonts w:eastAsia="MS Mincho"/>
          <w:sz w:val="20"/>
          <w:szCs w:val="24"/>
        </w:rPr>
      </w:pPr>
    </w:p>
    <w:p w14:paraId="2B0AA557" w14:textId="0FEEC9EC" w:rsidR="008755E5" w:rsidRPr="009C483E" w:rsidRDefault="00651E5D" w:rsidP="008755E5">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5275C4B5" w14:textId="77777777" w:rsidR="008755E5" w:rsidRPr="009C483E" w:rsidRDefault="008755E5" w:rsidP="008755E5">
      <w:pPr>
        <w:pStyle w:val="Text"/>
      </w:pPr>
    </w:p>
    <w:p w14:paraId="0B08463F" w14:textId="77777777" w:rsidR="008755E5" w:rsidRPr="009C483E" w:rsidRDefault="008755E5" w:rsidP="008755E5">
      <w:pPr>
        <w:pStyle w:val="Text"/>
      </w:pPr>
    </w:p>
    <w:tbl>
      <w:tblPr>
        <w:tblStyle w:val="Basic"/>
        <w:tblW w:w="0" w:type="auto"/>
        <w:tblLook w:val="04A0" w:firstRow="1" w:lastRow="0" w:firstColumn="1" w:lastColumn="0" w:noHBand="0" w:noVBand="1"/>
      </w:tblPr>
      <w:tblGrid>
        <w:gridCol w:w="4792"/>
        <w:gridCol w:w="4732"/>
      </w:tblGrid>
      <w:tr w:rsidR="008755E5" w:rsidRPr="00AE1C26" w14:paraId="4CFE3AC8" w14:textId="77777777" w:rsidTr="00665937">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9C483E" w:rsidRDefault="008755E5" w:rsidP="00665937">
            <w:pPr>
              <w:pStyle w:val="HeadlineKontakte"/>
            </w:pPr>
            <w:r>
              <w:rPr>
                <w:caps w:val="0"/>
              </w:rPr>
              <w:t>VOUS OBTIENDREZ DE PLUS AMPLES</w:t>
            </w:r>
            <w:r>
              <w:t xml:space="preserve"> </w:t>
            </w:r>
          </w:p>
          <w:p w14:paraId="3DCFA73F" w14:textId="77777777" w:rsidR="008755E5" w:rsidRPr="009C483E" w:rsidRDefault="008755E5" w:rsidP="00665937">
            <w:pPr>
              <w:pStyle w:val="HeadlineKontakte"/>
            </w:pPr>
            <w:r>
              <w:rPr>
                <w:caps w:val="0"/>
              </w:rPr>
              <w:t>INFORMATIONS AUPRÈS DE </w:t>
            </w:r>
            <w:r>
              <w:t>:</w:t>
            </w:r>
          </w:p>
          <w:p w14:paraId="624FF247" w14:textId="77777777" w:rsidR="008755E5" w:rsidRPr="009C483E" w:rsidRDefault="008755E5" w:rsidP="00665937">
            <w:pPr>
              <w:pStyle w:val="Text"/>
            </w:pPr>
            <w:r>
              <w:t>WIRTGEN GROUP</w:t>
            </w:r>
          </w:p>
          <w:p w14:paraId="300E7831" w14:textId="77777777" w:rsidR="008755E5" w:rsidRPr="009C483E" w:rsidRDefault="002D2EE5" w:rsidP="00665937">
            <w:pPr>
              <w:pStyle w:val="Text"/>
            </w:pPr>
            <w:r>
              <w:t>Public Relations</w:t>
            </w:r>
          </w:p>
          <w:p w14:paraId="3625C6F1" w14:textId="77777777" w:rsidR="008755E5" w:rsidRPr="009C483E" w:rsidRDefault="008755E5" w:rsidP="00665937">
            <w:pPr>
              <w:pStyle w:val="Text"/>
            </w:pPr>
            <w:r>
              <w:t>Reinhard-Wirtgen-</w:t>
            </w:r>
            <w:proofErr w:type="spellStart"/>
            <w:r>
              <w:t>Straße</w:t>
            </w:r>
            <w:proofErr w:type="spellEnd"/>
            <w:r>
              <w:t xml:space="preserve"> 2</w:t>
            </w:r>
          </w:p>
          <w:p w14:paraId="624DEEE7" w14:textId="77777777" w:rsidR="008755E5" w:rsidRPr="009C483E" w:rsidRDefault="008755E5" w:rsidP="00665937">
            <w:pPr>
              <w:pStyle w:val="Text"/>
            </w:pPr>
            <w:r>
              <w:t>53578 Windhagen</w:t>
            </w:r>
          </w:p>
          <w:p w14:paraId="62D30E93" w14:textId="77777777" w:rsidR="008755E5" w:rsidRPr="009C483E" w:rsidRDefault="008755E5" w:rsidP="00665937">
            <w:pPr>
              <w:pStyle w:val="Text"/>
            </w:pPr>
            <w:r>
              <w:t>Allemagne</w:t>
            </w:r>
          </w:p>
          <w:p w14:paraId="55E30481" w14:textId="77777777" w:rsidR="008755E5" w:rsidRPr="009C483E" w:rsidRDefault="008755E5" w:rsidP="00665937">
            <w:pPr>
              <w:pStyle w:val="Text"/>
            </w:pPr>
          </w:p>
          <w:p w14:paraId="0130A04F" w14:textId="234577D8" w:rsidR="002603EC" w:rsidRPr="009C483E" w:rsidRDefault="008755E5" w:rsidP="00665937">
            <w:pPr>
              <w:pStyle w:val="Text"/>
            </w:pPr>
            <w:r>
              <w:t xml:space="preserve">Téléphone : +49 (0) 2645 131 – 1966 </w:t>
            </w:r>
          </w:p>
          <w:p w14:paraId="4182A933" w14:textId="77777777" w:rsidR="008755E5" w:rsidRPr="009C483E" w:rsidRDefault="008755E5" w:rsidP="00665937">
            <w:pPr>
              <w:pStyle w:val="Text"/>
            </w:pPr>
            <w:proofErr w:type="spellStart"/>
            <w:r>
              <w:t>Telefax</w:t>
            </w:r>
            <w:proofErr w:type="spellEnd"/>
            <w:r>
              <w:t> : +49 (0) 2645 131 – 499</w:t>
            </w:r>
          </w:p>
          <w:p w14:paraId="4CA1F3B4" w14:textId="77777777" w:rsidR="008755E5" w:rsidRPr="009C483E" w:rsidRDefault="008755E5" w:rsidP="00665937">
            <w:pPr>
              <w:pStyle w:val="Text"/>
            </w:pPr>
            <w:r>
              <w:t>E-mail : PR@wirtgen-group.com</w:t>
            </w:r>
          </w:p>
          <w:p w14:paraId="7C0F0E17" w14:textId="77777777" w:rsidR="008755E5" w:rsidRPr="00AE1C26" w:rsidRDefault="002D2EE5" w:rsidP="00665937">
            <w:pPr>
              <w:pStyle w:val="Text"/>
            </w:pPr>
            <w:r>
              <w:t>www.wirtgen-group.com</w:t>
            </w:r>
          </w:p>
          <w:p w14:paraId="689C700E" w14:textId="77777777" w:rsidR="002D2EE5" w:rsidRPr="00AE1C26" w:rsidRDefault="002D2EE5" w:rsidP="00665937">
            <w:pPr>
              <w:pStyle w:val="Text"/>
            </w:pPr>
          </w:p>
          <w:p w14:paraId="5483B1E9" w14:textId="77777777" w:rsidR="002D2EE5" w:rsidRPr="00AE1C26" w:rsidRDefault="002D2EE5" w:rsidP="00665937">
            <w:pPr>
              <w:pStyle w:val="Text"/>
            </w:pPr>
          </w:p>
          <w:p w14:paraId="5B4D15E7" w14:textId="77777777" w:rsidR="002D2EE5" w:rsidRPr="00AE1C26" w:rsidRDefault="002D2EE5" w:rsidP="00665937">
            <w:pPr>
              <w:pStyle w:val="Text"/>
            </w:pPr>
          </w:p>
        </w:tc>
        <w:tc>
          <w:tcPr>
            <w:tcW w:w="4832" w:type="dxa"/>
            <w:tcBorders>
              <w:left w:val="single" w:sz="48" w:space="0" w:color="FFFFFF" w:themeColor="background1"/>
            </w:tcBorders>
          </w:tcPr>
          <w:p w14:paraId="374E2C17" w14:textId="77777777" w:rsidR="008755E5" w:rsidRPr="00AE1C26" w:rsidRDefault="008755E5" w:rsidP="00665937">
            <w:pPr>
              <w:pStyle w:val="Text"/>
            </w:pPr>
          </w:p>
        </w:tc>
      </w:tr>
    </w:tbl>
    <w:p w14:paraId="5021EEFC" w14:textId="77777777" w:rsidR="00D166AC" w:rsidRPr="00AE1C26" w:rsidRDefault="00D166AC" w:rsidP="008755E5">
      <w:pPr>
        <w:spacing w:line="280" w:lineRule="atLeast"/>
        <w:jc w:val="both"/>
      </w:pPr>
    </w:p>
    <w:sectPr w:rsidR="00D166AC" w:rsidRPr="00AE1C26"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A4181" w14:textId="77777777" w:rsidR="006D7A0B" w:rsidRDefault="006D7A0B" w:rsidP="00E55534">
      <w:r>
        <w:separator/>
      </w:r>
    </w:p>
  </w:endnote>
  <w:endnote w:type="continuationSeparator" w:id="0">
    <w:p w14:paraId="078483BF" w14:textId="77777777" w:rsidR="006D7A0B" w:rsidRDefault="006D7A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2363042E"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FF5AD3">
            <w:rPr>
              <w:noProof/>
            </w:rPr>
            <w:t>03</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E8BA8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2 · D-53578 Windhagen · T : +49 26 45 /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46C9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37DF6" w14:textId="77777777" w:rsidR="006D7A0B" w:rsidRDefault="006D7A0B" w:rsidP="00E55534">
      <w:r>
        <w:separator/>
      </w:r>
    </w:p>
  </w:footnote>
  <w:footnote w:type="continuationSeparator" w:id="0">
    <w:p w14:paraId="280F40AC" w14:textId="77777777" w:rsidR="006D7A0B" w:rsidRDefault="006D7A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E720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de-DE" w:vendorID="64" w:dllVersion="6" w:nlCheck="1" w:checkStyle="0"/>
  <w:activeWritingStyle w:appName="MSWord" w:lang="fr-FR"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A9C"/>
    <w:rsid w:val="000037E3"/>
    <w:rsid w:val="000069E2"/>
    <w:rsid w:val="000148B3"/>
    <w:rsid w:val="00042106"/>
    <w:rsid w:val="0005285B"/>
    <w:rsid w:val="00052D16"/>
    <w:rsid w:val="00055529"/>
    <w:rsid w:val="000621DD"/>
    <w:rsid w:val="00066D09"/>
    <w:rsid w:val="00073765"/>
    <w:rsid w:val="00083A80"/>
    <w:rsid w:val="000909F1"/>
    <w:rsid w:val="0009665C"/>
    <w:rsid w:val="000A237B"/>
    <w:rsid w:val="000A3695"/>
    <w:rsid w:val="000A36D9"/>
    <w:rsid w:val="000A3A2C"/>
    <w:rsid w:val="000C7EF3"/>
    <w:rsid w:val="000D15C3"/>
    <w:rsid w:val="000D4396"/>
    <w:rsid w:val="000E24F8"/>
    <w:rsid w:val="000E51B2"/>
    <w:rsid w:val="000E616E"/>
    <w:rsid w:val="000F338E"/>
    <w:rsid w:val="001014ED"/>
    <w:rsid w:val="00103205"/>
    <w:rsid w:val="001067F4"/>
    <w:rsid w:val="00112ADD"/>
    <w:rsid w:val="00113729"/>
    <w:rsid w:val="0012026F"/>
    <w:rsid w:val="001206D7"/>
    <w:rsid w:val="001218DF"/>
    <w:rsid w:val="00124922"/>
    <w:rsid w:val="001264E5"/>
    <w:rsid w:val="001315E0"/>
    <w:rsid w:val="00132055"/>
    <w:rsid w:val="001415A3"/>
    <w:rsid w:val="001470C1"/>
    <w:rsid w:val="00167211"/>
    <w:rsid w:val="00167A35"/>
    <w:rsid w:val="001A12EC"/>
    <w:rsid w:val="001B16BB"/>
    <w:rsid w:val="001C008C"/>
    <w:rsid w:val="001C1CC8"/>
    <w:rsid w:val="001E3C89"/>
    <w:rsid w:val="001E4131"/>
    <w:rsid w:val="00201345"/>
    <w:rsid w:val="00206A15"/>
    <w:rsid w:val="00222C18"/>
    <w:rsid w:val="00253A2E"/>
    <w:rsid w:val="0025422C"/>
    <w:rsid w:val="002603EC"/>
    <w:rsid w:val="00280DA7"/>
    <w:rsid w:val="00286F6A"/>
    <w:rsid w:val="0029634D"/>
    <w:rsid w:val="002D0780"/>
    <w:rsid w:val="002D2EE5"/>
    <w:rsid w:val="002E765F"/>
    <w:rsid w:val="002F108B"/>
    <w:rsid w:val="002F24DF"/>
    <w:rsid w:val="002F5818"/>
    <w:rsid w:val="0030316D"/>
    <w:rsid w:val="00306DF5"/>
    <w:rsid w:val="0032774C"/>
    <w:rsid w:val="00333707"/>
    <w:rsid w:val="0034191A"/>
    <w:rsid w:val="00343CC7"/>
    <w:rsid w:val="00344770"/>
    <w:rsid w:val="00366D22"/>
    <w:rsid w:val="00370B7A"/>
    <w:rsid w:val="00383663"/>
    <w:rsid w:val="00384531"/>
    <w:rsid w:val="00384A08"/>
    <w:rsid w:val="00384DA0"/>
    <w:rsid w:val="0039717B"/>
    <w:rsid w:val="003A2CCD"/>
    <w:rsid w:val="003A42BE"/>
    <w:rsid w:val="003A753A"/>
    <w:rsid w:val="003B56D9"/>
    <w:rsid w:val="003B7637"/>
    <w:rsid w:val="003E1CB6"/>
    <w:rsid w:val="003E3CF6"/>
    <w:rsid w:val="003E5C62"/>
    <w:rsid w:val="003E759F"/>
    <w:rsid w:val="003E75DA"/>
    <w:rsid w:val="003E7853"/>
    <w:rsid w:val="00403373"/>
    <w:rsid w:val="00406C81"/>
    <w:rsid w:val="00412545"/>
    <w:rsid w:val="00426265"/>
    <w:rsid w:val="00430BB0"/>
    <w:rsid w:val="004324F9"/>
    <w:rsid w:val="004419AE"/>
    <w:rsid w:val="00454254"/>
    <w:rsid w:val="00455A60"/>
    <w:rsid w:val="00471CB5"/>
    <w:rsid w:val="0047410A"/>
    <w:rsid w:val="004A2C0E"/>
    <w:rsid w:val="004B0E04"/>
    <w:rsid w:val="004B2B10"/>
    <w:rsid w:val="004C38B4"/>
    <w:rsid w:val="004C3B31"/>
    <w:rsid w:val="004C3CD5"/>
    <w:rsid w:val="004C5DF6"/>
    <w:rsid w:val="004D23D0"/>
    <w:rsid w:val="004D2BE0"/>
    <w:rsid w:val="004E6EF5"/>
    <w:rsid w:val="004F17C6"/>
    <w:rsid w:val="004F5C91"/>
    <w:rsid w:val="00503EF5"/>
    <w:rsid w:val="00506409"/>
    <w:rsid w:val="005137AD"/>
    <w:rsid w:val="00522806"/>
    <w:rsid w:val="00530E32"/>
    <w:rsid w:val="00533132"/>
    <w:rsid w:val="00533716"/>
    <w:rsid w:val="00543D05"/>
    <w:rsid w:val="005649F4"/>
    <w:rsid w:val="005710C8"/>
    <w:rsid w:val="005711A3"/>
    <w:rsid w:val="00571A5C"/>
    <w:rsid w:val="00573B2B"/>
    <w:rsid w:val="005776E9"/>
    <w:rsid w:val="00595E09"/>
    <w:rsid w:val="005A0718"/>
    <w:rsid w:val="005A4F04"/>
    <w:rsid w:val="005B5793"/>
    <w:rsid w:val="005C65FA"/>
    <w:rsid w:val="005D6B6F"/>
    <w:rsid w:val="005E2793"/>
    <w:rsid w:val="005E5764"/>
    <w:rsid w:val="006063D4"/>
    <w:rsid w:val="00620A6C"/>
    <w:rsid w:val="006330A2"/>
    <w:rsid w:val="00642EB6"/>
    <w:rsid w:val="00645ACE"/>
    <w:rsid w:val="00651E5D"/>
    <w:rsid w:val="00662214"/>
    <w:rsid w:val="00665937"/>
    <w:rsid w:val="00682D41"/>
    <w:rsid w:val="00692D60"/>
    <w:rsid w:val="006A1487"/>
    <w:rsid w:val="006A5EE7"/>
    <w:rsid w:val="006C7411"/>
    <w:rsid w:val="006D225D"/>
    <w:rsid w:val="006D7A0B"/>
    <w:rsid w:val="006F21BE"/>
    <w:rsid w:val="006F7602"/>
    <w:rsid w:val="006F76BB"/>
    <w:rsid w:val="007211C0"/>
    <w:rsid w:val="00722A17"/>
    <w:rsid w:val="00723F4F"/>
    <w:rsid w:val="00727FF8"/>
    <w:rsid w:val="00751BA2"/>
    <w:rsid w:val="0075761B"/>
    <w:rsid w:val="00757B83"/>
    <w:rsid w:val="00766461"/>
    <w:rsid w:val="0078188A"/>
    <w:rsid w:val="007823C2"/>
    <w:rsid w:val="00791A69"/>
    <w:rsid w:val="00794830"/>
    <w:rsid w:val="00796A6B"/>
    <w:rsid w:val="00797CAA"/>
    <w:rsid w:val="007A0F74"/>
    <w:rsid w:val="007C2658"/>
    <w:rsid w:val="007D58A1"/>
    <w:rsid w:val="007E20D0"/>
    <w:rsid w:val="007E3DAB"/>
    <w:rsid w:val="008004FF"/>
    <w:rsid w:val="00820315"/>
    <w:rsid w:val="008427F2"/>
    <w:rsid w:val="00842A04"/>
    <w:rsid w:val="00843B45"/>
    <w:rsid w:val="00851B7B"/>
    <w:rsid w:val="008536F9"/>
    <w:rsid w:val="00862422"/>
    <w:rsid w:val="00863129"/>
    <w:rsid w:val="008644A2"/>
    <w:rsid w:val="008755E5"/>
    <w:rsid w:val="008C2DB2"/>
    <w:rsid w:val="008D770E"/>
    <w:rsid w:val="008E7F9D"/>
    <w:rsid w:val="008F2D00"/>
    <w:rsid w:val="008F4BC0"/>
    <w:rsid w:val="008F6D63"/>
    <w:rsid w:val="0090337E"/>
    <w:rsid w:val="009328FA"/>
    <w:rsid w:val="00936A78"/>
    <w:rsid w:val="00952853"/>
    <w:rsid w:val="00954465"/>
    <w:rsid w:val="009646E4"/>
    <w:rsid w:val="009B7C05"/>
    <w:rsid w:val="009C2378"/>
    <w:rsid w:val="009C483E"/>
    <w:rsid w:val="009D016F"/>
    <w:rsid w:val="009D1EE6"/>
    <w:rsid w:val="009E251D"/>
    <w:rsid w:val="00A02696"/>
    <w:rsid w:val="00A171F4"/>
    <w:rsid w:val="00A24EFC"/>
    <w:rsid w:val="00A31B2D"/>
    <w:rsid w:val="00A470BD"/>
    <w:rsid w:val="00A55453"/>
    <w:rsid w:val="00A63E56"/>
    <w:rsid w:val="00A64361"/>
    <w:rsid w:val="00A6763B"/>
    <w:rsid w:val="00A70F18"/>
    <w:rsid w:val="00A977CE"/>
    <w:rsid w:val="00AC6ABC"/>
    <w:rsid w:val="00AD131F"/>
    <w:rsid w:val="00AD7855"/>
    <w:rsid w:val="00AE0A6C"/>
    <w:rsid w:val="00AE1C26"/>
    <w:rsid w:val="00AF3B3A"/>
    <w:rsid w:val="00AF4E8E"/>
    <w:rsid w:val="00AF6569"/>
    <w:rsid w:val="00B06265"/>
    <w:rsid w:val="00B2339E"/>
    <w:rsid w:val="00B45EF9"/>
    <w:rsid w:val="00B5232A"/>
    <w:rsid w:val="00B63FA8"/>
    <w:rsid w:val="00B72825"/>
    <w:rsid w:val="00B742F0"/>
    <w:rsid w:val="00B90862"/>
    <w:rsid w:val="00B90925"/>
    <w:rsid w:val="00B90F78"/>
    <w:rsid w:val="00BA3DCA"/>
    <w:rsid w:val="00BB0606"/>
    <w:rsid w:val="00BB11CA"/>
    <w:rsid w:val="00BD1058"/>
    <w:rsid w:val="00BD5391"/>
    <w:rsid w:val="00BF5162"/>
    <w:rsid w:val="00BF56B2"/>
    <w:rsid w:val="00C01997"/>
    <w:rsid w:val="00C022A4"/>
    <w:rsid w:val="00C136DF"/>
    <w:rsid w:val="00C276B2"/>
    <w:rsid w:val="00C34C1B"/>
    <w:rsid w:val="00C457C3"/>
    <w:rsid w:val="00C47A8A"/>
    <w:rsid w:val="00C644CA"/>
    <w:rsid w:val="00C65C10"/>
    <w:rsid w:val="00C710F8"/>
    <w:rsid w:val="00C73005"/>
    <w:rsid w:val="00C85E18"/>
    <w:rsid w:val="00CA4A09"/>
    <w:rsid w:val="00CC4FD7"/>
    <w:rsid w:val="00CD3241"/>
    <w:rsid w:val="00CD5CC3"/>
    <w:rsid w:val="00CF36C9"/>
    <w:rsid w:val="00D166AC"/>
    <w:rsid w:val="00D36BA2"/>
    <w:rsid w:val="00D37CF4"/>
    <w:rsid w:val="00D63C67"/>
    <w:rsid w:val="00D7489B"/>
    <w:rsid w:val="00D74E0B"/>
    <w:rsid w:val="00D854E4"/>
    <w:rsid w:val="00D921D8"/>
    <w:rsid w:val="00D97E5D"/>
    <w:rsid w:val="00DB4BB0"/>
    <w:rsid w:val="00DC0B53"/>
    <w:rsid w:val="00DC565E"/>
    <w:rsid w:val="00DE18B1"/>
    <w:rsid w:val="00E04039"/>
    <w:rsid w:val="00E14608"/>
    <w:rsid w:val="00E21E67"/>
    <w:rsid w:val="00E30EBF"/>
    <w:rsid w:val="00E316C0"/>
    <w:rsid w:val="00E4529B"/>
    <w:rsid w:val="00E52D70"/>
    <w:rsid w:val="00E55534"/>
    <w:rsid w:val="00E608EC"/>
    <w:rsid w:val="00E914D1"/>
    <w:rsid w:val="00E939C4"/>
    <w:rsid w:val="00E96B69"/>
    <w:rsid w:val="00F14B7F"/>
    <w:rsid w:val="00F20920"/>
    <w:rsid w:val="00F353EA"/>
    <w:rsid w:val="00F35FEA"/>
    <w:rsid w:val="00F54344"/>
    <w:rsid w:val="00F56318"/>
    <w:rsid w:val="00F74CEA"/>
    <w:rsid w:val="00F75B79"/>
    <w:rsid w:val="00F80665"/>
    <w:rsid w:val="00F82525"/>
    <w:rsid w:val="00F97FEA"/>
    <w:rsid w:val="00FA45A3"/>
    <w:rsid w:val="00FA4880"/>
    <w:rsid w:val="00FA68C2"/>
    <w:rsid w:val="00FB5E74"/>
    <w:rsid w:val="00FB60E1"/>
    <w:rsid w:val="00FC0014"/>
    <w:rsid w:val="00FE1B6B"/>
    <w:rsid w:val="00FF0325"/>
    <w:rsid w:val="00FF52AE"/>
    <w:rsid w:val="00FF5AD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645E6EF-5A59-0244-9ECE-98292CFA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113982">
      <w:bodyDiv w:val="1"/>
      <w:marLeft w:val="0"/>
      <w:marRight w:val="0"/>
      <w:marTop w:val="0"/>
      <w:marBottom w:val="0"/>
      <w:divBdr>
        <w:top w:val="none" w:sz="0" w:space="0" w:color="auto"/>
        <w:left w:val="none" w:sz="0" w:space="0" w:color="auto"/>
        <w:bottom w:val="none" w:sz="0" w:space="0" w:color="auto"/>
        <w:right w:val="none" w:sz="0" w:space="0" w:color="auto"/>
      </w:divBdr>
    </w:div>
    <w:div w:id="428086839">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1962807539">
      <w:bodyDiv w:val="1"/>
      <w:marLeft w:val="0"/>
      <w:marRight w:val="0"/>
      <w:marTop w:val="0"/>
      <w:marBottom w:val="0"/>
      <w:divBdr>
        <w:top w:val="none" w:sz="0" w:space="0" w:color="auto"/>
        <w:left w:val="none" w:sz="0" w:space="0" w:color="auto"/>
        <w:bottom w:val="none" w:sz="0" w:space="0" w:color="auto"/>
        <w:right w:val="none" w:sz="0" w:space="0" w:color="auto"/>
      </w:divBdr>
    </w:div>
    <w:div w:id="2021812841">
      <w:bodyDiv w:val="1"/>
      <w:marLeft w:val="0"/>
      <w:marRight w:val="0"/>
      <w:marTop w:val="0"/>
      <w:marBottom w:val="0"/>
      <w:divBdr>
        <w:top w:val="none" w:sz="0" w:space="0" w:color="auto"/>
        <w:left w:val="none" w:sz="0" w:space="0" w:color="auto"/>
        <w:bottom w:val="none" w:sz="0" w:space="0" w:color="auto"/>
        <w:right w:val="none" w:sz="0" w:space="0" w:color="auto"/>
      </w:divBdr>
      <w:divsChild>
        <w:div w:id="1356929773">
          <w:marLeft w:val="0"/>
          <w:marRight w:val="0"/>
          <w:marTop w:val="0"/>
          <w:marBottom w:val="0"/>
          <w:divBdr>
            <w:top w:val="none" w:sz="0" w:space="0" w:color="auto"/>
            <w:left w:val="none" w:sz="0" w:space="0" w:color="auto"/>
            <w:bottom w:val="none" w:sz="0" w:space="0" w:color="auto"/>
            <w:right w:val="none" w:sz="0" w:space="0" w:color="auto"/>
          </w:divBdr>
        </w:div>
      </w:divsChild>
    </w:div>
    <w:div w:id="2105566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004A0-D17D-4B5B-8D80-1AEB43755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4801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Christian.Narres@wirtgen.de</dc:creator>
  <cp:keywords/>
  <dc:description/>
  <cp:lastModifiedBy>Linnemann Mario</cp:lastModifiedBy>
  <cp:revision>4</cp:revision>
  <cp:lastPrinted>2021-10-22T12:49:00Z</cp:lastPrinted>
  <dcterms:created xsi:type="dcterms:W3CDTF">2021-12-14T08:46:00Z</dcterms:created>
  <dcterms:modified xsi:type="dcterms:W3CDTF">2021-12-16T09:25:00Z</dcterms:modified>
</cp:coreProperties>
</file>